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A03" w:rsidRDefault="00A97A03" w:rsidP="009E3A28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</w:pPr>
      <w:bookmarkStart w:id="0" w:name="_GoBack"/>
      <w:bookmarkEnd w:id="0"/>
    </w:p>
    <w:p w:rsidR="009E3A28" w:rsidRPr="00004CAF" w:rsidRDefault="009E3A28" w:rsidP="009E3A28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</w:pPr>
      <w:r w:rsidRPr="00004CA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  <w:t>Програма розвитку земельних відносин та охорони земель Васильківської селищної ради на 202</w:t>
      </w:r>
      <w:r w:rsidR="005375C4" w:rsidRPr="00004CA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  <w:t>2</w:t>
      </w:r>
      <w:r w:rsidRPr="00004CA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  <w:t>-2025 роки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Затверджено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br/>
        <w:t>Рішення сесії Васильківської селищної ради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br/>
        <w:t xml:space="preserve">№ </w:t>
      </w:r>
      <w:r w:rsidR="00A97A03" w:rsidRPr="00A97A03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 xml:space="preserve">№ 759 - 19/VІІІ 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 xml:space="preserve">від </w:t>
      </w:r>
      <w:r w:rsidR="00A97A03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 xml:space="preserve">25.01.2022 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року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ПРОГРАМА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br/>
        <w:t>розвитку земельних відносин та охорони земель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br/>
      </w:r>
      <w:r w:rsidR="005375C4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 xml:space="preserve">Васильківської селищної 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 xml:space="preserve"> ради на 20</w:t>
      </w:r>
      <w:r w:rsidR="005375C4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22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-202</w:t>
      </w:r>
      <w:r w:rsidR="005375C4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5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 xml:space="preserve"> роки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ВСТУП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Програма розвитку земельних відносин та охорони земель </w:t>
      </w:r>
      <w:r w:rsidRPr="009E3A28">
        <w:rPr>
          <w:rFonts w:ascii="Times New Roman" w:eastAsia="Times New Roman" w:hAnsi="Times New Roman" w:cs="Times New Roman"/>
          <w:bCs/>
          <w:sz w:val="21"/>
          <w:szCs w:val="21"/>
          <w:lang w:val="uk-UA" w:eastAsia="ru-RU"/>
        </w:rPr>
        <w:t>Васильківської селищної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ради на 20</w:t>
      </w: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</w:t>
      </w:r>
      <w:r w:rsidR="001E02D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-202</w:t>
      </w: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5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роки (далі – Програма) розроблена згідно із Земельним та Бюджетним кодексами України, Законами України «Про землеустрій», «Про охорону земель», «Про оцінку земель», «Про Державний земельний кадастр», </w:t>
      </w:r>
      <w:r w:rsidR="005375C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Закону України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від </w:t>
      </w:r>
      <w:r w:rsidR="005375C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24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5375C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липня 2021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року № </w:t>
      </w:r>
      <w:r w:rsidR="005375C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711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«</w:t>
      </w:r>
      <w:r w:rsidR="005375C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Про внесення змін до деяких законодавчих актів України щодо планування використання земель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»,</w:t>
      </w:r>
      <w:r w:rsidR="005375C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Закону України</w:t>
      </w:r>
      <w:r w:rsidR="005375C4"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від </w:t>
      </w:r>
      <w:r w:rsidR="005375C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28</w:t>
      </w:r>
      <w:r w:rsidR="005375C4"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704F30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квітня</w:t>
      </w:r>
      <w:r w:rsidR="005375C4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2021</w:t>
      </w:r>
      <w:r w:rsidR="005375C4"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року № </w:t>
      </w:r>
      <w:r w:rsidR="00704F30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1423</w:t>
      </w:r>
      <w:r w:rsidR="005375C4"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«</w:t>
      </w:r>
      <w:r w:rsidR="00704F30" w:rsidRPr="00704F30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5375C4"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», 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з метою здійснення заходів для створення ефективного механізму регулювання земельних відносин та управління земельними ресурсами, раціонального використання та охорони земель, розвитку ринку землі та ведення Державного земельного кадастру.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Результатом виконання Програми має стати підвищення ефективності раціонального </w:t>
      </w:r>
      <w:r w:rsidR="001E02D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використання та охорони земель селищної 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ради.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Разом із зростанням інвестиційного та виробничого потенціалів землі як самостійного фактора економічного зростання буде завершено здійснення більш важливих заходів і завдань, необхідних для подальшого розвитку земельних відносин, гарантування прав на землю, формування якісного екологічного середовища </w:t>
      </w:r>
      <w:r>
        <w:rPr>
          <w:rFonts w:ascii="Times New Roman" w:eastAsia="Times New Roman" w:hAnsi="Times New Roman" w:cs="Times New Roman"/>
          <w:bCs/>
          <w:sz w:val="21"/>
          <w:szCs w:val="21"/>
          <w:lang w:val="uk-UA" w:eastAsia="ru-RU"/>
        </w:rPr>
        <w:t>Васильківської селищної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ради.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1. Мета Програми</w:t>
      </w:r>
    </w:p>
    <w:p w:rsidR="009E3A28" w:rsidRPr="009E3A28" w:rsidRDefault="009E3A28" w:rsidP="009E3A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Основною метою Програми є:</w:t>
      </w:r>
    </w:p>
    <w:p w:rsidR="009E3A28" w:rsidRPr="009E3A28" w:rsidRDefault="009E3A28" w:rsidP="009E3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здійснення заходів для створення ефективного механізму регулювання земельних відносин та управління земельними ресурсами, раціонального використання та охорони земель, розвитку ринку землі та ведення державного земельного кадастру;</w:t>
      </w:r>
    </w:p>
    <w:p w:rsidR="009E3A28" w:rsidRDefault="009E3A28" w:rsidP="009E3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забезпечення ефективного використання земельних ресурсів, створення оптимальних умов для суттєвого збільшення соціального, інвестиційного і виробничого потенціалів землі, зростання її економічної цінності.</w:t>
      </w:r>
    </w:p>
    <w:p w:rsidR="00704F30" w:rsidRPr="009E3A28" w:rsidRDefault="00704F30" w:rsidP="009E3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Здійснення комплексного плану просторового </w:t>
      </w:r>
      <w:r w:rsidR="006C68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розвитку території територіальної громади, який визначає перспективне найбільш ефективне використання території </w:t>
      </w:r>
      <w:r w:rsidR="002D0A21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 межах всієї території територіальної громади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2. Організаційне забезпечення виконання програми</w:t>
      </w:r>
    </w:p>
    <w:p w:rsidR="009E3A28" w:rsidRPr="009E3A28" w:rsidRDefault="009E3A28" w:rsidP="009E3A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У Програмі визначені основні завдання проведення земельної реформи. Програма має сприяти активізації процесу загального розвитку земельних відносин та докорінно поліпшити охорону земельних ресурсів </w:t>
      </w:r>
      <w:r>
        <w:rPr>
          <w:rFonts w:ascii="Times New Roman" w:eastAsia="Times New Roman" w:hAnsi="Times New Roman" w:cs="Times New Roman"/>
          <w:bCs/>
          <w:sz w:val="21"/>
          <w:szCs w:val="21"/>
          <w:lang w:val="uk-UA" w:eastAsia="ru-RU"/>
        </w:rPr>
        <w:t>Васильківської селищної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ради. Ними слід вважати:</w:t>
      </w:r>
    </w:p>
    <w:p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проведення аналізу стану використання та охорони земель на території </w:t>
      </w:r>
      <w:r w:rsidR="002D0A21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Васильківської селищної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ради;</w:t>
      </w:r>
    </w:p>
    <w:p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проведення інвентаризації земель усіх форм власності;</w:t>
      </w:r>
    </w:p>
    <w:p w:rsidR="009E3A28" w:rsidRPr="00AA2C22" w:rsidRDefault="00775C14" w:rsidP="00AA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lastRenderedPageBreak/>
        <w:t>виготовлення</w:t>
      </w:r>
      <w:r w:rsidR="009E3A28"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Проекту землеустрою щодо встановлення та зміни меж населених пунктів</w:t>
      </w:r>
      <w:r w:rsidR="00AA2C22" w:rsidRPr="00AA2C22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 xml:space="preserve"> </w:t>
      </w:r>
      <w:r w:rsidR="00AA2C22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Васильківка, </w:t>
      </w:r>
      <w:r w:rsidR="00EE5F0D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Б</w:t>
      </w:r>
      <w:r w:rsidR="00AA2C22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ондарево, Вовчанське, Зоря, Іванівка, Красне, Манвелівка, Петреківка, Правда, Улянівка,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Великоолександрівка,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Преображенське,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Первомайське,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Воскресенівка,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Нововоскресенівка,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Катеринівка,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Богданівка,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Нововасильківка,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Бабакове,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Колоно-Миколаївка</w:t>
      </w:r>
      <w:r w:rsidR="00EE5F0D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EE5F0D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Письменне,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Вербівське,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</w:t>
      </w:r>
      <w:r w:rsidR="00EE5F0D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вратне,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Воронізьке, Дібрівка,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Зелений Гай,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Іванівське,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Тихе,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Луб’янці,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Новоіванівка,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Рубанівське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,Солонці,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Шевченківське,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Дебальцеве,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Веселий Кут,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Лугове, Новотерсянське,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Охотниче,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Перевальське,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Пришиб,</w:t>
      </w:r>
      <w:r w:rsid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AA2C22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Григорівка</w:t>
      </w:r>
      <w:r w:rsidR="00EE5F0D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, Павлівка, Аврамівка, Довге, Каплистівка, Кобзар, Криворізьке, Крутоярка, Новогригорівка, Перепеляче, Морозівське, Самарське, Червона Долина, Шевченко, </w:t>
      </w:r>
      <w:r w:rsidR="0065673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Шев</w:t>
      </w:r>
      <w:r w:rsidR="00656738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`</w:t>
      </w:r>
      <w:r w:rsidR="0065673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якино, Широке,</w:t>
      </w:r>
      <w:r w:rsidR="009E3A2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65673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Синельниківського</w:t>
      </w:r>
      <w:r w:rsidR="009E3A2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району 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Дніпропетровської</w:t>
      </w:r>
      <w:r w:rsidR="009E3A2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області та включення у межі адміністративно-територіальних одиниць земельних ділянок проектної житлової садибної забудови (враховуючи дані Схеми планування території 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Васильківської</w:t>
      </w:r>
      <w:r w:rsidR="009E3A2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селищної </w:t>
      </w:r>
      <w:r w:rsidR="009E3A2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ради 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Синельниківського</w:t>
      </w:r>
      <w:r w:rsidR="009E3A2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району 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Дніпропетровської</w:t>
      </w:r>
      <w:r w:rsidR="009E3A2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області);</w:t>
      </w:r>
    </w:p>
    <w:p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виявлення та повернення самовільно зайнятих земельних ділянок і 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надання 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їх у 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користування або у власність</w:t>
      </w:r>
    </w:p>
    <w:p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оновлення планово-картографічних матеріалів;</w:t>
      </w:r>
    </w:p>
    <w:p w:rsidR="009E3A28" w:rsidRPr="009E3A28" w:rsidRDefault="009E3A28" w:rsidP="000410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співпраця з 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податковою службою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 як</w:t>
      </w:r>
      <w:r w:rsid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а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проводять нарахування фізичним особам сум земельного податку, з метою приведення їх у відповідність до даних державного земельного кадастру та тарифів;</w:t>
      </w:r>
    </w:p>
    <w:p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проведення рекультивації порушених земель;</w:t>
      </w:r>
    </w:p>
    <w:p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проведення робіт з нормативної грошової оцінки земель населених пунктів :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Васильківка, Бондарево, Вовчанське, Зоря, Іванівка, Красне, Манвелівка, Петреківка, Правда, Улянівка,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Великоолександрівка,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Преображенське,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Первомайське,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Воскресенівка,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Нововоскресенівка,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Катеринівка,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Богданівка,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Нововасильківка,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Бабакове,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Колоно-Миколаївка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Письменне,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Вербівське,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вратне,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Воронізьке, Дібрівка,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Зелений Гай,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Іванівське,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Тихе,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Луб’янці,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Новоіванівка,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Рубанівське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,Солонці,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Шевченківське,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Дебальцеве,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Веселий Кут,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Лугове, Новотерсянське,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Охотниче,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Перевальське,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Пришиб,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BC4778" w:rsidRPr="00AA2C2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Григорівка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 Павлівка, Аврамівка, Довге, Каплистівка, Кобзар, Криворізьке, Крутоярка, Новогригорівка, Перепеляче, Морозівське, Самарське, Червона Долина, Шевченко, Шев</w:t>
      </w:r>
      <w:r w:rsidR="00BC4778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`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якино, Широке Васильківської селищної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ради;</w:t>
      </w:r>
    </w:p>
    <w:p w:rsidR="009E3A28" w:rsidRPr="009E3A28" w:rsidRDefault="00BC477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розробка – Комплексного плану просторового розвитку території територіальної громади</w:t>
      </w:r>
      <w:r w:rsidR="009E3A28"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;</w:t>
      </w:r>
    </w:p>
    <w:p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запровадження ефективних механізмів ринку землі, у тому числі проведення земельних торгів у формі аукціону;</w:t>
      </w:r>
    </w:p>
    <w:p w:rsidR="009E3A28" w:rsidRDefault="00BC477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виготовлення генеральних планів населених пунктів</w:t>
      </w:r>
      <w:r w:rsidR="009E3A28"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;</w:t>
      </w:r>
    </w:p>
    <w:p w:rsidR="00A70839" w:rsidRPr="009E3A28" w:rsidRDefault="00A70839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розробка детальних планів територій під об’єктами освіти, охорони здоров’я, культури, ЖКХ. </w:t>
      </w:r>
    </w:p>
    <w:p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розроблення проектів землеустрою щодо встановлення меж прибережних захисних смуг для забезпечення раціонального використання природоохоронної території з</w:t>
      </w:r>
      <w:r w:rsidR="00BC47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режимом обмеженої господарської діяльності;</w:t>
      </w:r>
    </w:p>
    <w:p w:rsidR="009E3A28" w:rsidRPr="009E3A28" w:rsidRDefault="009E3A28" w:rsidP="009E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запровадження внутрішніх правил регулювання земельних відносин, пов’язаних з наданням громадянам у користування або у власність земельних ділянок для будівництва і обслуговування житлового будинку, господарських будівель і споруд та ведення особистого селянського господарства на території </w:t>
      </w:r>
      <w:r w:rsid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Васильківської селищної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ради.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 xml:space="preserve">3. Сучасний стан земельного фонду </w:t>
      </w:r>
      <w:r w:rsidR="00A70839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Васильківської селищної</w:t>
      </w: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 xml:space="preserve"> ради.</w:t>
      </w:r>
    </w:p>
    <w:p w:rsidR="00A70839" w:rsidRPr="00A70839" w:rsidRDefault="00A70839" w:rsidP="00370CBB">
      <w:pPr>
        <w:shd w:val="clear" w:color="auto" w:fill="FFFFFF"/>
        <w:spacing w:before="100" w:beforeAutospacing="1" w:after="100" w:afterAutospacing="1" w:line="240" w:lineRule="auto"/>
        <w:ind w:left="360" w:firstLine="348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Васильківська селищна об’єднана територіальна громада утворена у 2016 році шляхом добровільного об’єднання Великоолександрівської сільської ради, Воскресенівської сільської ради та Богданівської сільської ради: сіл Великоолександрівка,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Преображенське,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Первомайське,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Воскресенівка,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Нововоскресенівка,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Катеринівка,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Богданівка,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Нововасильківка,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Бабакове,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Колоно-Миколаївка. А також доприєднання у 2018</w:t>
      </w:r>
      <w:r w:rsidR="00F878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році Письменської селищної ради, Дебальцівської сільської ради та Григорівської сільської ради: селища Письмене, сіл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Вербівське,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Вовратне,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Воронізьке, Дібрівка,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Зелений Гай,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Іванівське,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Тихе,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Луб’янці,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Новоіванівка,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Рубанівське,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Солонці,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Шевченківське,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Дебальцеве,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Веселий Кут,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Лугове, Новотерсянське,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Охотниче,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Перевальське,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Пришиб,</w:t>
      </w:r>
      <w:r w:rsidR="00370CB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F878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Григорівка,</w:t>
      </w:r>
      <w:r w:rsidR="00F87846" w:rsidRPr="00F878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F878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та кінець 2020 року Павлівської сільської ради, сіл </w:t>
      </w:r>
      <w:r w:rsidR="004E4D5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Павлівка, Аврамівка, Довге, Каплистівка, Кобзар, Криворізьке, Крутоярка, Новогригорівка, Перепеляче, Морозівське, Самарське, Червона Долина, Шевченко, Шев</w:t>
      </w:r>
      <w:r w:rsidR="004E4D58" w:rsidRPr="0004103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`</w:t>
      </w:r>
      <w:r w:rsidR="004E4D5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якино, Широке</w:t>
      </w:r>
    </w:p>
    <w:p w:rsidR="00A70839" w:rsidRPr="00A70839" w:rsidRDefault="00A70839" w:rsidP="00A7083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Адміністративним центром територіальної громади є селище міського типу Васильківка, в якому розміщений орган місцевого самоврядування.</w:t>
      </w:r>
    </w:p>
    <w:p w:rsidR="00A70839" w:rsidRPr="00A70839" w:rsidRDefault="00A70839" w:rsidP="00A7083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Територіальна громада має єдиний представницький орган – Васильківську селищну раду.</w:t>
      </w:r>
    </w:p>
    <w:p w:rsidR="00A70839" w:rsidRPr="00A70839" w:rsidRDefault="00A70839" w:rsidP="00A7083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lastRenderedPageBreak/>
        <w:t xml:space="preserve">Територія громади займає площу </w:t>
      </w:r>
      <w:r w:rsidR="004E4D58" w:rsidRPr="004E4D5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882,213</w:t>
      </w:r>
      <w:r w:rsidR="004E4D58"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кв. км. або </w:t>
      </w:r>
      <w:r w:rsidR="004E4D5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882</w:t>
      </w:r>
      <w:r w:rsidR="004E4D58" w:rsidRPr="004E4D5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21</w:t>
      </w:r>
      <w:r w:rsidR="004E4D5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</w:t>
      </w:r>
      <w:r w:rsidR="004E4D58" w:rsidRPr="004E4D5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3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га</w:t>
      </w:r>
    </w:p>
    <w:p w:rsidR="00A70839" w:rsidRPr="00A70839" w:rsidRDefault="00A70839" w:rsidP="00A7083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Населення громади станом на 01.01.20</w:t>
      </w:r>
      <w:r w:rsidR="004E4D5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</w:t>
      </w:r>
      <w:r w:rsidR="00004CAF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року становить  </w:t>
      </w:r>
      <w:r w:rsidR="00004CAF" w:rsidRPr="00004CAF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21999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чоловік.</w:t>
      </w:r>
    </w:p>
    <w:p w:rsidR="00A70839" w:rsidRPr="00A70839" w:rsidRDefault="00A70839" w:rsidP="00A7083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Площа земель сільськогосподарського призначення складає </w:t>
      </w:r>
      <w:r w:rsidR="00EF043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79258,97</w:t>
      </w:r>
      <w:r w:rsidRPr="00A7083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га.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4. Фінансове забезпечення виконання програми</w:t>
      </w:r>
    </w:p>
    <w:p w:rsidR="009E3A28" w:rsidRPr="009E3A28" w:rsidRDefault="009E3A28" w:rsidP="009E3A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Фінансування Програми здійснюється за рахунок:</w:t>
      </w:r>
    </w:p>
    <w:p w:rsidR="009E3A28" w:rsidRPr="009E3A28" w:rsidRDefault="009E3A28" w:rsidP="009E3A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коштів місцевих бюджетів;</w:t>
      </w:r>
    </w:p>
    <w:p w:rsidR="009E3A28" w:rsidRPr="009E3A28" w:rsidRDefault="009E3A28" w:rsidP="009E3A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інших джерел, які не заборонені чинним законодавством.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Щорічний план основних заходів та необхідний обсяг фінансування, щодо реалізації Програми затверджується рішенням </w:t>
      </w:r>
      <w:r w:rsidR="00EF043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Васильківської селищної ради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Головними розпорядниками бюджетних коштів з виконання заходів Програми є виконавчий комітет </w:t>
      </w:r>
      <w:r w:rsidR="00EF043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селищної ради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5. Очікувані результати виконання програми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Передбачені Програмою заходи планується здійснити протягом 20</w:t>
      </w:r>
      <w:r w:rsidR="00EF043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22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–202</w:t>
      </w:r>
      <w:r w:rsidR="00EF043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5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років.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Поетапне виконання Програми шляхом здійснення комплексу організаційних, правових, еколого-економічних та інших заходів дозволить створити стійку систему нарощування біоресурсного потенціалу земель та підвищити економічну ефективність їх використання.</w:t>
      </w:r>
    </w:p>
    <w:p w:rsid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Проведення робіт, пов'язаних з розробкою та складанням планів земельно-господарського устрою населених пунктів, дасть змогу упорядкувати відомості про земельні ділянки і землекористувачів, вирішувати питання забудови, планування і зонування, створити реальний банк даних про ринок землі.</w:t>
      </w:r>
    </w:p>
    <w:p w:rsidR="00BE5382" w:rsidRPr="009E3A28" w:rsidRDefault="00BE5382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За результатами розроблення Комплексного плану формуються земельні ділянки державної та комунальної власності, а також</w:t>
      </w:r>
      <w:r w:rsidR="00907E4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містобудівні умови та обмеження, відомості про які вносяться до Державного земельного кадастру та містобудівного кадастру.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Також роботи пов’язані з оновленням меж населених пунктів, встановленням прибережних захисних смуг, дадуть можливість сприя</w:t>
      </w:r>
      <w:r w:rsidR="00BE5382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нню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належному оподаткуванню територій та додатковим бюджетним надходженням, а також забезпечать подальше впорядкування територій із визначенням перспектив розвитку сільської громади.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В цілому по </w:t>
      </w:r>
      <w:r w:rsidR="00907E4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Васильківській селищній 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раді збільшиться надходження коштів до бюджету від сплати земельного податку та оренди землі, зокрема це буде забезпечено</w:t>
      </w:r>
      <w:r w:rsidR="00907E4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проведенням та своєчасним оновлення грошової оцінки, що дозволить збільшити бюджетні надходження від плати за землю орієнтовно у 4–7 разів, а для </w:t>
      </w:r>
      <w:r w:rsidR="00907E4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селищної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ради це стане гарантією стабільного наповнення місцевого бюджету на наступні </w:t>
      </w:r>
      <w:r w:rsidR="00907E4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три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рок</w:t>
      </w:r>
      <w:r w:rsidR="00907E4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и</w:t>
      </w: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6. Контроль за виконанням програми</w:t>
      </w:r>
    </w:p>
    <w:p w:rsidR="009E3A28" w:rsidRPr="009E3A28" w:rsidRDefault="009E3A28" w:rsidP="009E3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9E3A2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Контроль за виконанням цієї Програми здійснюють: постійна комісія з питань планування фінансів, бюджету та соціально-економічного розвитку та постійна комісія з питань містобудування, будівництва, земельних відносин та охорони навколишнього середовища.</w:t>
      </w:r>
    </w:p>
    <w:p w:rsidR="00274A64" w:rsidRDefault="00FD4269" w:rsidP="002C4F77">
      <w:pPr>
        <w:rPr>
          <w:rFonts w:ascii="Times New Roman" w:hAnsi="Times New Roman" w:cs="Times New Roman"/>
          <w:lang w:val="uk-UA"/>
        </w:rPr>
      </w:pPr>
      <w:r w:rsidRPr="009E3A28">
        <w:rPr>
          <w:rFonts w:ascii="Times New Roman" w:hAnsi="Times New Roman" w:cs="Times New Roman"/>
          <w:lang w:val="uk-UA"/>
        </w:rPr>
        <w:t xml:space="preserve"> </w:t>
      </w:r>
    </w:p>
    <w:p w:rsidR="00274A64" w:rsidRDefault="00274A6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274A64" w:rsidRPr="004D04CC" w:rsidRDefault="00274A64" w:rsidP="00274A64">
      <w:pPr>
        <w:jc w:val="center"/>
        <w:rPr>
          <w:rFonts w:ascii="Times New Roman" w:eastAsia="Times New Roman" w:hAnsi="Times New Roman" w:cs="Times New Roman"/>
        </w:rPr>
      </w:pPr>
      <w:r w:rsidRPr="004D04CC">
        <w:rPr>
          <w:rFonts w:ascii="Times New Roman" w:eastAsia="Times New Roman" w:hAnsi="Times New Roman" w:cs="Times New Roman"/>
          <w:b/>
          <w:bCs/>
          <w:color w:val="1D1D1B"/>
        </w:rPr>
        <w:lastRenderedPageBreak/>
        <w:t>ПАСПОРТ ПРОГРАМИ</w:t>
      </w:r>
    </w:p>
    <w:p w:rsidR="00274A64" w:rsidRPr="004D04CC" w:rsidRDefault="00274A64" w:rsidP="00274A64">
      <w:pPr>
        <w:jc w:val="center"/>
        <w:rPr>
          <w:rFonts w:ascii="Times New Roman" w:eastAsia="Times New Roman" w:hAnsi="Times New Roman" w:cs="Times New Roman"/>
        </w:rPr>
      </w:pPr>
      <w:r w:rsidRPr="004D04CC">
        <w:rPr>
          <w:rFonts w:ascii="Times New Roman" w:eastAsia="Times New Roman" w:hAnsi="Times New Roman" w:cs="Times New Roman"/>
          <w:b/>
          <w:bCs/>
          <w:color w:val="1D1D1B"/>
        </w:rPr>
        <w:t>розвитку земельних відносин</w:t>
      </w:r>
    </w:p>
    <w:p w:rsidR="00274A64" w:rsidRPr="004D04CC" w:rsidRDefault="00274A64" w:rsidP="00274A64">
      <w:pPr>
        <w:jc w:val="center"/>
        <w:rPr>
          <w:rFonts w:ascii="Times New Roman" w:eastAsia="Times New Roman" w:hAnsi="Times New Roman" w:cs="Times New Roman"/>
        </w:rPr>
      </w:pPr>
      <w:r w:rsidRPr="004D04CC">
        <w:rPr>
          <w:rFonts w:ascii="Times New Roman" w:eastAsia="Times New Roman" w:hAnsi="Times New Roman" w:cs="Times New Roman"/>
          <w:b/>
          <w:bCs/>
          <w:color w:val="1D1D1B"/>
        </w:rPr>
        <w:t>на території Васильківської селищної об’єднаної територіальної громади</w:t>
      </w:r>
    </w:p>
    <w:p w:rsidR="00274A64" w:rsidRPr="004D04CC" w:rsidRDefault="00274A64" w:rsidP="00274A64">
      <w:pPr>
        <w:jc w:val="center"/>
        <w:rPr>
          <w:rFonts w:ascii="Times New Roman" w:eastAsia="Times New Roman" w:hAnsi="Times New Roman" w:cs="Times New Roman"/>
        </w:rPr>
      </w:pPr>
      <w:r w:rsidRPr="004D04CC">
        <w:rPr>
          <w:rFonts w:ascii="Times New Roman" w:eastAsia="Times New Roman" w:hAnsi="Times New Roman" w:cs="Times New Roman"/>
          <w:b/>
          <w:bCs/>
          <w:color w:val="1D1D1B"/>
        </w:rPr>
        <w:t>на 20</w:t>
      </w:r>
      <w:r w:rsidRPr="004D04CC">
        <w:rPr>
          <w:rFonts w:ascii="Times New Roman" w:eastAsia="Times New Roman" w:hAnsi="Times New Roman" w:cs="Times New Roman"/>
          <w:b/>
          <w:bCs/>
          <w:color w:val="1D1D1B"/>
          <w:lang w:val="uk-UA"/>
        </w:rPr>
        <w:t>22</w:t>
      </w:r>
      <w:r w:rsidRPr="004D04CC">
        <w:rPr>
          <w:rFonts w:ascii="Times New Roman" w:eastAsia="Times New Roman" w:hAnsi="Times New Roman" w:cs="Times New Roman"/>
          <w:b/>
          <w:bCs/>
          <w:color w:val="1D1D1B"/>
        </w:rPr>
        <w:t>-202</w:t>
      </w:r>
      <w:r w:rsidRPr="004D04CC">
        <w:rPr>
          <w:rFonts w:ascii="Times New Roman" w:eastAsia="Times New Roman" w:hAnsi="Times New Roman" w:cs="Times New Roman"/>
          <w:b/>
          <w:bCs/>
          <w:color w:val="1D1D1B"/>
          <w:lang w:val="uk-UA"/>
        </w:rPr>
        <w:t>5</w:t>
      </w:r>
      <w:r w:rsidRPr="004D04CC">
        <w:rPr>
          <w:rFonts w:ascii="Times New Roman" w:eastAsia="Times New Roman" w:hAnsi="Times New Roman" w:cs="Times New Roman"/>
          <w:b/>
          <w:bCs/>
          <w:color w:val="1D1D1B"/>
        </w:rPr>
        <w:t> роки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3682"/>
        <w:gridCol w:w="5423"/>
      </w:tblGrid>
      <w:tr w:rsidR="00274A64" w:rsidRPr="0082461D" w:rsidTr="0082461D">
        <w:trPr>
          <w:trHeight w:val="20"/>
          <w:tblCellSpacing w:w="0" w:type="dxa"/>
        </w:trPr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Васильківська селищна рада</w:t>
            </w:r>
          </w:p>
        </w:tc>
      </w:tr>
      <w:tr w:rsidR="00274A64" w:rsidRPr="0082461D" w:rsidTr="0082461D">
        <w:trPr>
          <w:trHeight w:val="20"/>
          <w:tblCellSpacing w:w="0" w:type="dxa"/>
        </w:trPr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Розробник програми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</w:rPr>
              <w:t>Відділ земельних відносин</w:t>
            </w:r>
          </w:p>
        </w:tc>
      </w:tr>
      <w:tr w:rsidR="00274A64" w:rsidRPr="0082461D" w:rsidTr="0082461D">
        <w:trPr>
          <w:trHeight w:val="20"/>
          <w:tblCellSpacing w:w="0" w:type="dxa"/>
        </w:trPr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</w:rPr>
              <w:t>Відділ земельних відносин</w:t>
            </w:r>
          </w:p>
        </w:tc>
      </w:tr>
      <w:tr w:rsidR="00274A64" w:rsidRPr="0082461D" w:rsidTr="0082461D">
        <w:trPr>
          <w:trHeight w:val="20"/>
          <w:tblCellSpacing w:w="0" w:type="dxa"/>
        </w:trPr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Учасники програми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Організації, заклади, установи, громадяни, проектні організації що мають ліцензії на виконання землевпорядних та землеоціночних робіт</w:t>
            </w:r>
          </w:p>
        </w:tc>
      </w:tr>
      <w:tr w:rsidR="00274A64" w:rsidRPr="0082461D" w:rsidTr="0082461D">
        <w:trPr>
          <w:trHeight w:val="20"/>
          <w:tblCellSpacing w:w="0" w:type="dxa"/>
        </w:trPr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Підстава для розроблення програми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Земельний кодекс України, Бюджетний кодекс України, Закони України «Про землеустрій», «Про охорону земель», «Про оцінку земель»</w:t>
            </w:r>
          </w:p>
        </w:tc>
      </w:tr>
      <w:tr w:rsidR="00274A64" w:rsidRPr="0082461D" w:rsidTr="0082461D">
        <w:trPr>
          <w:trHeight w:val="20"/>
          <w:tblCellSpacing w:w="0" w:type="dxa"/>
        </w:trPr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 програми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ефективного використання та підвищення цінності земельних ресурсів Васильківської ОТГ</w:t>
            </w:r>
          </w:p>
        </w:tc>
      </w:tr>
      <w:tr w:rsidR="00274A64" w:rsidRPr="0082461D" w:rsidTr="0082461D">
        <w:trPr>
          <w:trHeight w:val="20"/>
          <w:tblCellSpacing w:w="0" w:type="dxa"/>
        </w:trPr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Терміни реалізації програми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</w:t>
            </w: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</w:tr>
      <w:tr w:rsidR="00274A64" w:rsidRPr="0082461D" w:rsidTr="0082461D">
        <w:trPr>
          <w:trHeight w:val="20"/>
          <w:tblCellSpacing w:w="0" w:type="dxa"/>
        </w:trPr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 фінансування Програми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Селищний бюджет та  інші джерела фінансування, не заборонені законодавством</w:t>
            </w:r>
          </w:p>
        </w:tc>
      </w:tr>
      <w:tr w:rsidR="00274A64" w:rsidRPr="0082461D" w:rsidTr="0082461D">
        <w:trPr>
          <w:trHeight w:val="20"/>
          <w:tblCellSpacing w:w="0" w:type="dxa"/>
        </w:trPr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  орієнтовний обсяг фінансових ресурсів, необхідних для реалізації програми, тис. грн.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004CAF" w:rsidRDefault="00274A64" w:rsidP="00004C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04CA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="00004CA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6,839</w:t>
            </w:r>
            <w:r w:rsidRPr="00004CA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04CA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млн.грн.</w:t>
            </w:r>
          </w:p>
        </w:tc>
      </w:tr>
      <w:tr w:rsidR="00274A64" w:rsidRPr="0082461D" w:rsidTr="0082461D">
        <w:trPr>
          <w:trHeight w:val="20"/>
          <w:tblCellSpacing w:w="0" w:type="dxa"/>
        </w:trPr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Відповідальний  виконавець </w:t>
            </w: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 Програми</w:t>
            </w:r>
          </w:p>
        </w:tc>
        <w:tc>
          <w:tcPr>
            <w:tcW w:w="0" w:type="auto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Виконавчий комітет Васильківської селищної ради</w:t>
            </w:r>
          </w:p>
        </w:tc>
      </w:tr>
      <w:tr w:rsidR="00274A64" w:rsidRPr="0082461D" w:rsidTr="0082461D">
        <w:trPr>
          <w:trHeight w:val="20"/>
          <w:tblCellSpacing w:w="0" w:type="dxa"/>
        </w:trPr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82461D" w:rsidRDefault="00274A64" w:rsidP="00274A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 реалізацією Програми</w:t>
            </w:r>
          </w:p>
        </w:tc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74A64" w:rsidRPr="004D04CC" w:rsidRDefault="004D04CC" w:rsidP="004D04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 виконанням даного рішення покласти на постійну комісію з питань земельних відносин, екології та охорони навколишнього природного середовища (Гужел О.В.).</w:t>
            </w:r>
          </w:p>
        </w:tc>
      </w:tr>
    </w:tbl>
    <w:p w:rsidR="0082461D" w:rsidRDefault="0082461D" w:rsidP="002C4F77">
      <w:pPr>
        <w:rPr>
          <w:rFonts w:ascii="Times New Roman" w:hAnsi="Times New Roman" w:cs="Times New Roman"/>
          <w:lang w:val="uk-UA"/>
        </w:rPr>
        <w:sectPr w:rsidR="008246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4241" w:rsidRPr="00084241" w:rsidRDefault="00084241" w:rsidP="004F38EF">
      <w:pPr>
        <w:ind w:left="6379"/>
        <w:rPr>
          <w:rFonts w:ascii="Times New Roman" w:eastAsia="Times New Roman" w:hAnsi="Times New Roman" w:cs="Times New Roman"/>
          <w:bCs/>
          <w:color w:val="1D1D1B"/>
          <w:lang w:val="uk-UA"/>
        </w:rPr>
      </w:pPr>
      <w:r w:rsidRPr="00084241">
        <w:rPr>
          <w:rFonts w:ascii="Times New Roman" w:eastAsia="Times New Roman" w:hAnsi="Times New Roman" w:cs="Times New Roman"/>
          <w:bCs/>
          <w:color w:val="1D1D1B"/>
          <w:lang w:val="uk-UA"/>
        </w:rPr>
        <w:lastRenderedPageBreak/>
        <w:t xml:space="preserve">Додаток до додатка </w:t>
      </w:r>
      <w:r w:rsidR="004F38EF">
        <w:rPr>
          <w:rFonts w:ascii="Times New Roman" w:eastAsia="Times New Roman" w:hAnsi="Times New Roman" w:cs="Times New Roman"/>
          <w:bCs/>
          <w:color w:val="1D1D1B"/>
          <w:lang w:val="uk-UA"/>
        </w:rPr>
        <w:t xml:space="preserve"> до рішення селищної ради від 25.01.2022 №</w:t>
      </w:r>
    </w:p>
    <w:p w:rsidR="00084241" w:rsidRDefault="00084241" w:rsidP="00084241">
      <w:pPr>
        <w:jc w:val="center"/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uk-UA"/>
        </w:rPr>
      </w:pPr>
      <w:r w:rsidRPr="004F38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uk-UA"/>
        </w:rPr>
        <w:t xml:space="preserve">Напрями діяльності та заходи Програми розвитку </w:t>
      </w:r>
      <w:r w:rsidR="004F38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uk-UA"/>
        </w:rPr>
        <w:t xml:space="preserve">земельних відносин на території </w:t>
      </w:r>
      <w:r w:rsidRPr="004F38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uk-UA"/>
        </w:rPr>
        <w:t>Васильківської селищної  територіальної громади на 20</w:t>
      </w:r>
      <w:r w:rsidR="004F38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uk-UA"/>
        </w:rPr>
        <w:t>22</w:t>
      </w:r>
      <w:r w:rsidRPr="004F38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uk-UA"/>
        </w:rPr>
        <w:t>-202</w:t>
      </w:r>
      <w:r w:rsidR="004F38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uk-UA"/>
        </w:rPr>
        <w:t>5</w:t>
      </w:r>
      <w:r w:rsidRPr="004F38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uk-UA"/>
        </w:rPr>
        <w:t xml:space="preserve"> роки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3"/>
        <w:gridCol w:w="1332"/>
        <w:gridCol w:w="1501"/>
        <w:gridCol w:w="1007"/>
        <w:gridCol w:w="1306"/>
        <w:gridCol w:w="1406"/>
        <w:gridCol w:w="1241"/>
        <w:gridCol w:w="1305"/>
      </w:tblGrid>
      <w:tr w:rsidR="00ED79AC" w:rsidRPr="004D04CC" w:rsidTr="004D04CC">
        <w:tc>
          <w:tcPr>
            <w:tcW w:w="473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№ з/п </w:t>
            </w:r>
          </w:p>
        </w:tc>
        <w:tc>
          <w:tcPr>
            <w:tcW w:w="1332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Назва напряму діяльності (пріоритетні завдання</w:t>
            </w:r>
          </w:p>
        </w:tc>
        <w:tc>
          <w:tcPr>
            <w:tcW w:w="1501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Перелік заходів Програми </w:t>
            </w:r>
          </w:p>
        </w:tc>
        <w:tc>
          <w:tcPr>
            <w:tcW w:w="1007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Термін виконання заходу </w:t>
            </w:r>
          </w:p>
        </w:tc>
        <w:tc>
          <w:tcPr>
            <w:tcW w:w="1306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Виконавці </w:t>
            </w:r>
          </w:p>
        </w:tc>
        <w:tc>
          <w:tcPr>
            <w:tcW w:w="1406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Джерела фінансування </w:t>
            </w:r>
          </w:p>
        </w:tc>
        <w:tc>
          <w:tcPr>
            <w:tcW w:w="1241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Обсяги фінансування (вартість</w:t>
            </w:r>
          </w:p>
        </w:tc>
        <w:tc>
          <w:tcPr>
            <w:tcW w:w="1305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Очікуваний результат </w:t>
            </w:r>
          </w:p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ED79AC" w:rsidRPr="004D04CC" w:rsidTr="004D04CC">
        <w:tc>
          <w:tcPr>
            <w:tcW w:w="473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332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501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007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306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406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241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1305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</w:tr>
      <w:tr w:rsidR="00ED79AC" w:rsidRPr="004D04CC" w:rsidTr="004D04CC">
        <w:tc>
          <w:tcPr>
            <w:tcW w:w="473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332" w:type="dxa"/>
          </w:tcPr>
          <w:p w:rsidR="004F38EF" w:rsidRPr="004D04CC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Інвентаризація земельних ділянок</w:t>
            </w:r>
            <w:r w:rsidRPr="004D04CC">
              <w:rPr>
                <w:rFonts w:ascii="Times New Roman" w:eastAsia="Times New Roman" w:hAnsi="Times New Roman" w:cs="Times New Roman"/>
                <w:color w:val="1D1D1B"/>
                <w:lang w:val="uk-UA"/>
              </w:rPr>
              <w:t xml:space="preserve"> в межах населених пунктів</w:t>
            </w:r>
          </w:p>
        </w:tc>
        <w:tc>
          <w:tcPr>
            <w:tcW w:w="1501" w:type="dxa"/>
          </w:tcPr>
          <w:p w:rsidR="004F38EF" w:rsidRPr="004D04CC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Виготовлення технічної документації щодо інвентаризації земельних ділянок</w:t>
            </w:r>
          </w:p>
        </w:tc>
        <w:tc>
          <w:tcPr>
            <w:tcW w:w="1007" w:type="dxa"/>
          </w:tcPr>
          <w:p w:rsidR="004F38EF" w:rsidRPr="004D04CC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2022-2025</w:t>
            </w:r>
          </w:p>
        </w:tc>
        <w:tc>
          <w:tcPr>
            <w:tcW w:w="1306" w:type="dxa"/>
          </w:tcPr>
          <w:p w:rsidR="004F38EF" w:rsidRPr="004D04CC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Проектні землевпорядні організації</w:t>
            </w:r>
          </w:p>
        </w:tc>
        <w:tc>
          <w:tcPr>
            <w:tcW w:w="1406" w:type="dxa"/>
          </w:tcPr>
          <w:p w:rsidR="004F38EF" w:rsidRPr="004D04CC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Селищний бюджет, інші джерела фінансування, не заборонені законодавством</w:t>
            </w:r>
          </w:p>
        </w:tc>
        <w:tc>
          <w:tcPr>
            <w:tcW w:w="1241" w:type="dxa"/>
          </w:tcPr>
          <w:p w:rsidR="004F38EF" w:rsidRPr="004D04CC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7,7 млн.грн.</w:t>
            </w:r>
          </w:p>
        </w:tc>
        <w:tc>
          <w:tcPr>
            <w:tcW w:w="1305" w:type="dxa"/>
          </w:tcPr>
          <w:p w:rsidR="004F38EF" w:rsidRPr="004D04CC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000000"/>
              </w:rPr>
              <w:t>Створення інформаційної бази  та достовірний облік земельних ділянок </w:t>
            </w:r>
          </w:p>
        </w:tc>
      </w:tr>
      <w:tr w:rsidR="00ED79AC" w:rsidRPr="004D04CC" w:rsidTr="004D04CC">
        <w:tc>
          <w:tcPr>
            <w:tcW w:w="473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332" w:type="dxa"/>
          </w:tcPr>
          <w:p w:rsidR="004F38EF" w:rsidRPr="004D04CC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Комплексне планування просторового розвитку</w:t>
            </w:r>
          </w:p>
        </w:tc>
        <w:tc>
          <w:tcPr>
            <w:tcW w:w="1501" w:type="dxa"/>
          </w:tcPr>
          <w:p w:rsidR="004F38EF" w:rsidRPr="004D04CC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Виготовлення документації – Комплексний план просторового розвитку території</w:t>
            </w:r>
          </w:p>
        </w:tc>
        <w:tc>
          <w:tcPr>
            <w:tcW w:w="1007" w:type="dxa"/>
          </w:tcPr>
          <w:p w:rsidR="004F38EF" w:rsidRPr="004D04CC" w:rsidRDefault="00ED79A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2022-2025</w:t>
            </w:r>
          </w:p>
        </w:tc>
        <w:tc>
          <w:tcPr>
            <w:tcW w:w="1306" w:type="dxa"/>
          </w:tcPr>
          <w:p w:rsidR="004F38EF" w:rsidRPr="004D04CC" w:rsidRDefault="007D14D4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Проектні землевпорядні організації</w:t>
            </w:r>
          </w:p>
        </w:tc>
        <w:tc>
          <w:tcPr>
            <w:tcW w:w="1406" w:type="dxa"/>
          </w:tcPr>
          <w:p w:rsidR="004F38EF" w:rsidRPr="004D04CC" w:rsidRDefault="007D14D4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Селищний бюджет, інші джерела фінансування, не заборонені законодавством</w:t>
            </w:r>
          </w:p>
        </w:tc>
        <w:tc>
          <w:tcPr>
            <w:tcW w:w="1241" w:type="dxa"/>
          </w:tcPr>
          <w:p w:rsidR="004F38EF" w:rsidRPr="004D04CC" w:rsidRDefault="007D14D4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13,6 млн.грн.</w:t>
            </w:r>
          </w:p>
        </w:tc>
        <w:tc>
          <w:tcPr>
            <w:tcW w:w="1305" w:type="dxa"/>
          </w:tcPr>
          <w:p w:rsidR="004F38EF" w:rsidRPr="004D04CC" w:rsidRDefault="007D14D4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Створення комплексного управління територією громади</w:t>
            </w:r>
          </w:p>
        </w:tc>
      </w:tr>
      <w:tr w:rsidR="00ED79AC" w:rsidRPr="004D04CC" w:rsidTr="004D04CC">
        <w:tc>
          <w:tcPr>
            <w:tcW w:w="473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332" w:type="dxa"/>
          </w:tcPr>
          <w:p w:rsidR="004F38EF" w:rsidRPr="004D04CC" w:rsidRDefault="007D14D4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Встановлення меж населених пунктів</w:t>
            </w:r>
          </w:p>
        </w:tc>
        <w:tc>
          <w:tcPr>
            <w:tcW w:w="1501" w:type="dxa"/>
          </w:tcPr>
          <w:p w:rsidR="004F38EF" w:rsidRPr="004D04CC" w:rsidRDefault="009F39EC" w:rsidP="002128B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 xml:space="preserve">Виготовлення </w:t>
            </w:r>
            <w:r w:rsidR="002128B2" w:rsidRPr="004D04CC">
              <w:rPr>
                <w:rFonts w:ascii="Times New Roman" w:eastAsia="Times New Roman" w:hAnsi="Times New Roman" w:cs="Times New Roman"/>
                <w:color w:val="1D1D1B"/>
                <w:lang w:val="uk-UA"/>
              </w:rPr>
              <w:t>проектної документації</w:t>
            </w:r>
            <w:r w:rsidRPr="004D04CC">
              <w:rPr>
                <w:rFonts w:ascii="Times New Roman" w:eastAsia="Times New Roman" w:hAnsi="Times New Roman" w:cs="Times New Roman"/>
                <w:color w:val="1D1D1B"/>
              </w:rPr>
              <w:t xml:space="preserve"> щодо</w:t>
            </w:r>
            <w:r w:rsidRPr="004D04CC">
              <w:rPr>
                <w:rFonts w:ascii="Times New Roman" w:eastAsia="Times New Roman" w:hAnsi="Times New Roman" w:cs="Times New Roman"/>
                <w:color w:val="1D1D1B"/>
                <w:lang w:val="uk-UA"/>
              </w:rPr>
              <w:t xml:space="preserve"> встановлення </w:t>
            </w:r>
            <w:r w:rsidR="002128B2" w:rsidRPr="004D04CC">
              <w:rPr>
                <w:rFonts w:ascii="Times New Roman" w:eastAsia="Times New Roman" w:hAnsi="Times New Roman" w:cs="Times New Roman"/>
                <w:color w:val="1D1D1B"/>
                <w:lang w:val="uk-UA"/>
              </w:rPr>
              <w:t>(зміни) меж адміністративно-</w:t>
            </w:r>
            <w:r w:rsidR="00204CE3" w:rsidRPr="004D04CC">
              <w:rPr>
                <w:rFonts w:ascii="Times New Roman" w:eastAsia="Times New Roman" w:hAnsi="Times New Roman" w:cs="Times New Roman"/>
                <w:color w:val="1D1D1B"/>
                <w:lang w:val="uk-UA"/>
              </w:rPr>
              <w:t>територіальних одиниць</w:t>
            </w:r>
            <w:r w:rsidRPr="004D04CC">
              <w:rPr>
                <w:rFonts w:ascii="Times New Roman" w:eastAsia="Times New Roman" w:hAnsi="Times New Roman" w:cs="Times New Roman"/>
                <w:color w:val="1D1D1B"/>
                <w:lang w:val="uk-UA"/>
              </w:rPr>
              <w:t>.</w:t>
            </w:r>
          </w:p>
        </w:tc>
        <w:tc>
          <w:tcPr>
            <w:tcW w:w="1007" w:type="dxa"/>
          </w:tcPr>
          <w:p w:rsidR="004F38EF" w:rsidRPr="004D04CC" w:rsidRDefault="009F39E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2022-2025</w:t>
            </w:r>
          </w:p>
        </w:tc>
        <w:tc>
          <w:tcPr>
            <w:tcW w:w="1306" w:type="dxa"/>
          </w:tcPr>
          <w:p w:rsidR="004F38EF" w:rsidRPr="004D04CC" w:rsidRDefault="009F39E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Проектні землевпорядні організації</w:t>
            </w:r>
          </w:p>
        </w:tc>
        <w:tc>
          <w:tcPr>
            <w:tcW w:w="1406" w:type="dxa"/>
          </w:tcPr>
          <w:p w:rsidR="004F38EF" w:rsidRPr="004D04CC" w:rsidRDefault="009F39E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Селищний бюджет, інші джерела фінансування, не заборонені законодавством</w:t>
            </w:r>
          </w:p>
        </w:tc>
        <w:tc>
          <w:tcPr>
            <w:tcW w:w="1241" w:type="dxa"/>
          </w:tcPr>
          <w:p w:rsidR="004F38EF" w:rsidRPr="004D04CC" w:rsidRDefault="009F39E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1,831 млн.грн.</w:t>
            </w:r>
          </w:p>
        </w:tc>
        <w:tc>
          <w:tcPr>
            <w:tcW w:w="1305" w:type="dxa"/>
          </w:tcPr>
          <w:p w:rsidR="004F38EF" w:rsidRPr="004D04CC" w:rsidRDefault="009F39E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Встановлення відновлення меж населених пунктів</w:t>
            </w:r>
          </w:p>
        </w:tc>
      </w:tr>
      <w:tr w:rsidR="00ED79AC" w:rsidRPr="004D04CC" w:rsidTr="004D04CC">
        <w:tc>
          <w:tcPr>
            <w:tcW w:w="473" w:type="dxa"/>
          </w:tcPr>
          <w:p w:rsidR="004F38EF" w:rsidRPr="004D04CC" w:rsidRDefault="004F38EF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332" w:type="dxa"/>
          </w:tcPr>
          <w:p w:rsidR="004F38EF" w:rsidRPr="004D04CC" w:rsidRDefault="009F39EC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Проведення нормативної грошової оцінки Н.П.</w:t>
            </w:r>
          </w:p>
        </w:tc>
        <w:tc>
          <w:tcPr>
            <w:tcW w:w="1501" w:type="dxa"/>
          </w:tcPr>
          <w:p w:rsidR="004F38EF" w:rsidRPr="004D04CC" w:rsidRDefault="00204CE3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Виготовлення документації з НГО</w:t>
            </w:r>
          </w:p>
        </w:tc>
        <w:tc>
          <w:tcPr>
            <w:tcW w:w="1007" w:type="dxa"/>
          </w:tcPr>
          <w:p w:rsidR="004F38EF" w:rsidRPr="004D04CC" w:rsidRDefault="00204CE3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2022-2025</w:t>
            </w:r>
          </w:p>
        </w:tc>
        <w:tc>
          <w:tcPr>
            <w:tcW w:w="1306" w:type="dxa"/>
          </w:tcPr>
          <w:p w:rsidR="004F38EF" w:rsidRPr="004D04CC" w:rsidRDefault="00204CE3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Проектні землевпорядні організації</w:t>
            </w:r>
          </w:p>
        </w:tc>
        <w:tc>
          <w:tcPr>
            <w:tcW w:w="1406" w:type="dxa"/>
          </w:tcPr>
          <w:p w:rsidR="004F38EF" w:rsidRPr="004D04CC" w:rsidRDefault="00204CE3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color w:val="1D1D1B"/>
              </w:rPr>
              <w:t>Селищний бюджет, інші джерела фінансування, не заборонені законодавством</w:t>
            </w:r>
          </w:p>
        </w:tc>
        <w:tc>
          <w:tcPr>
            <w:tcW w:w="1241" w:type="dxa"/>
          </w:tcPr>
          <w:p w:rsidR="004F38EF" w:rsidRPr="004D04CC" w:rsidRDefault="00204CE3" w:rsidP="000842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3,708 млн.грн.</w:t>
            </w:r>
          </w:p>
        </w:tc>
        <w:tc>
          <w:tcPr>
            <w:tcW w:w="1305" w:type="dxa"/>
          </w:tcPr>
          <w:p w:rsidR="00204CE3" w:rsidRPr="004D04CC" w:rsidRDefault="00204CE3" w:rsidP="00204CE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>Документа ція з НГО</w:t>
            </w:r>
          </w:p>
          <w:p w:rsidR="004F38EF" w:rsidRPr="004D04CC" w:rsidRDefault="00204CE3" w:rsidP="00204CE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4C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4F38EF" w:rsidRPr="004F38EF" w:rsidRDefault="004F38EF" w:rsidP="00084241">
      <w:pPr>
        <w:jc w:val="center"/>
        <w:rPr>
          <w:rFonts w:ascii="Times New Roman" w:eastAsia="Times New Roman" w:hAnsi="Times New Roman" w:cs="Times New Roman"/>
          <w:lang w:val="uk-UA"/>
        </w:rPr>
      </w:pPr>
    </w:p>
    <w:p w:rsidR="00084241" w:rsidRPr="00084241" w:rsidRDefault="00084241" w:rsidP="00084241">
      <w:pPr>
        <w:jc w:val="center"/>
        <w:rPr>
          <w:rFonts w:ascii="Times New Roman" w:eastAsia="Times New Roman" w:hAnsi="Times New Roman" w:cs="Times New Roman"/>
        </w:rPr>
      </w:pPr>
      <w:r w:rsidRPr="00084241">
        <w:rPr>
          <w:rFonts w:ascii="Times New Roman" w:eastAsia="Times New Roman" w:hAnsi="Times New Roman" w:cs="Times New Roman"/>
        </w:rPr>
        <w:t> </w:t>
      </w:r>
    </w:p>
    <w:p w:rsidR="004D04CC" w:rsidRPr="00A97A03" w:rsidRDefault="00084241" w:rsidP="00084241">
      <w:pPr>
        <w:spacing w:before="100" w:after="150" w:line="330" w:lineRule="atLeast"/>
        <w:rPr>
          <w:rFonts w:ascii="Times New Roman" w:eastAsia="Times New Roman" w:hAnsi="Times New Roman" w:cs="Times New Roman"/>
          <w:color w:val="1D1D1B"/>
          <w:lang w:val="uk-UA"/>
        </w:rPr>
        <w:sectPr w:rsidR="004D04CC" w:rsidRPr="00A97A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84241">
        <w:rPr>
          <w:rFonts w:ascii="Times New Roman" w:eastAsia="Times New Roman" w:hAnsi="Times New Roman" w:cs="Times New Roman"/>
          <w:color w:val="1D1D1B"/>
          <w:lang w:val="uk-UA"/>
        </w:rPr>
        <w:t xml:space="preserve">           </w:t>
      </w:r>
      <w:r w:rsidRPr="00084241">
        <w:rPr>
          <w:rFonts w:ascii="Times New Roman" w:eastAsia="Times New Roman" w:hAnsi="Times New Roman" w:cs="Times New Roman"/>
          <w:color w:val="1D1D1B"/>
        </w:rPr>
        <w:t xml:space="preserve">Секретар селищної ради                                   </w:t>
      </w:r>
      <w:r w:rsidR="00A97A03">
        <w:rPr>
          <w:rFonts w:ascii="Times New Roman" w:eastAsia="Times New Roman" w:hAnsi="Times New Roman" w:cs="Times New Roman"/>
          <w:color w:val="1D1D1B"/>
        </w:rPr>
        <w:t>                   Т.О. Агарков</w:t>
      </w:r>
      <w:r w:rsidR="00A97A03">
        <w:rPr>
          <w:rFonts w:ascii="Times New Roman" w:eastAsia="Times New Roman" w:hAnsi="Times New Roman" w:cs="Times New Roman"/>
          <w:color w:val="1D1D1B"/>
          <w:lang w:val="uk-UA"/>
        </w:rPr>
        <w:t>а</w:t>
      </w:r>
    </w:p>
    <w:p w:rsidR="00084241" w:rsidRPr="00976607" w:rsidRDefault="00084241" w:rsidP="00A97A03">
      <w:pPr>
        <w:tabs>
          <w:tab w:val="left" w:pos="708"/>
        </w:tabs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084241" w:rsidRPr="0097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79" w:rsidRDefault="00E00979" w:rsidP="00084241">
      <w:pPr>
        <w:spacing w:after="0" w:line="240" w:lineRule="auto"/>
      </w:pPr>
      <w:r>
        <w:separator/>
      </w:r>
    </w:p>
  </w:endnote>
  <w:endnote w:type="continuationSeparator" w:id="0">
    <w:p w:rsidR="00E00979" w:rsidRDefault="00E00979" w:rsidP="0008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79" w:rsidRDefault="00E00979" w:rsidP="00084241">
      <w:pPr>
        <w:spacing w:after="0" w:line="240" w:lineRule="auto"/>
      </w:pPr>
      <w:r>
        <w:separator/>
      </w:r>
    </w:p>
  </w:footnote>
  <w:footnote w:type="continuationSeparator" w:id="0">
    <w:p w:rsidR="00E00979" w:rsidRDefault="00E00979" w:rsidP="0008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3787"/>
    <w:multiLevelType w:val="multilevel"/>
    <w:tmpl w:val="D2E8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E628E"/>
    <w:multiLevelType w:val="multilevel"/>
    <w:tmpl w:val="5718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C370A"/>
    <w:multiLevelType w:val="multilevel"/>
    <w:tmpl w:val="7C54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61F52"/>
    <w:multiLevelType w:val="multilevel"/>
    <w:tmpl w:val="98C4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1D"/>
    <w:rsid w:val="00004CAF"/>
    <w:rsid w:val="0004103C"/>
    <w:rsid w:val="00084241"/>
    <w:rsid w:val="00093F7D"/>
    <w:rsid w:val="000D4F70"/>
    <w:rsid w:val="001E02D7"/>
    <w:rsid w:val="00204CE3"/>
    <w:rsid w:val="002128B2"/>
    <w:rsid w:val="002647D8"/>
    <w:rsid w:val="00274A64"/>
    <w:rsid w:val="002C0C52"/>
    <w:rsid w:val="002C4F77"/>
    <w:rsid w:val="002D0A21"/>
    <w:rsid w:val="00370CBB"/>
    <w:rsid w:val="004C4CD6"/>
    <w:rsid w:val="004D04CC"/>
    <w:rsid w:val="004E4D58"/>
    <w:rsid w:val="004F38EF"/>
    <w:rsid w:val="005375C4"/>
    <w:rsid w:val="00656738"/>
    <w:rsid w:val="006C5C1D"/>
    <w:rsid w:val="006C68BB"/>
    <w:rsid w:val="00704F30"/>
    <w:rsid w:val="007603B8"/>
    <w:rsid w:val="00774A35"/>
    <w:rsid w:val="00775C14"/>
    <w:rsid w:val="007D14D4"/>
    <w:rsid w:val="0082461D"/>
    <w:rsid w:val="008D7842"/>
    <w:rsid w:val="00907E49"/>
    <w:rsid w:val="00976607"/>
    <w:rsid w:val="009E3A28"/>
    <w:rsid w:val="009F39EC"/>
    <w:rsid w:val="00A70839"/>
    <w:rsid w:val="00A97A03"/>
    <w:rsid w:val="00AA2C22"/>
    <w:rsid w:val="00B51D65"/>
    <w:rsid w:val="00BC4778"/>
    <w:rsid w:val="00BE5382"/>
    <w:rsid w:val="00E00979"/>
    <w:rsid w:val="00ED79AC"/>
    <w:rsid w:val="00EE5F0D"/>
    <w:rsid w:val="00EF0435"/>
    <w:rsid w:val="00F87846"/>
    <w:rsid w:val="00FD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3B922-BA23-48DE-92B5-EDBA63A7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3A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A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3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A28"/>
    <w:rPr>
      <w:b/>
      <w:bCs/>
    </w:rPr>
  </w:style>
  <w:style w:type="character" w:styleId="a5">
    <w:name w:val="Emphasis"/>
    <w:basedOn w:val="a0"/>
    <w:uiPriority w:val="20"/>
    <w:qFormat/>
    <w:rsid w:val="009E3A2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D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D4F7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F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a9"/>
    <w:rsid w:val="004D04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11"/>
    <w:locked/>
    <w:rsid w:val="004D04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8039</Words>
  <Characters>4583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hp book</cp:lastModifiedBy>
  <cp:revision>2</cp:revision>
  <cp:lastPrinted>2022-01-24T07:40:00Z</cp:lastPrinted>
  <dcterms:created xsi:type="dcterms:W3CDTF">2026-01-28T11:59:00Z</dcterms:created>
  <dcterms:modified xsi:type="dcterms:W3CDTF">2026-01-28T11:59:00Z</dcterms:modified>
</cp:coreProperties>
</file>