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6B" w:rsidRPr="00031AA6" w:rsidRDefault="00031AA6" w:rsidP="00031AA6">
      <w:pPr>
        <w:pStyle w:val="1"/>
        <w:spacing w:before="0" w:after="0" w:line="240" w:lineRule="auto"/>
        <w:ind w:left="227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1AA6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53436B" w:rsidRPr="00031AA6">
        <w:rPr>
          <w:rFonts w:ascii="Times New Roman" w:hAnsi="Times New Roman" w:cs="Times New Roman"/>
          <w:color w:val="auto"/>
          <w:sz w:val="24"/>
          <w:szCs w:val="24"/>
        </w:rPr>
        <w:t xml:space="preserve">Додаток </w:t>
      </w:r>
      <w:r w:rsidR="00E63D74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53436B" w:rsidRPr="00031AA6" w:rsidRDefault="0053436B" w:rsidP="00031AA6">
      <w:pPr>
        <w:pStyle w:val="1"/>
        <w:spacing w:before="0" w:after="0" w:line="240" w:lineRule="auto"/>
        <w:ind w:left="227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1AA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</w:t>
      </w:r>
      <w:r w:rsidR="00031AA6" w:rsidRPr="00031AA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031A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1AA6">
        <w:rPr>
          <w:rFonts w:ascii="Times New Roman" w:hAnsi="Times New Roman" w:cs="Times New Roman"/>
          <w:color w:val="auto"/>
          <w:sz w:val="24"/>
          <w:szCs w:val="24"/>
        </w:rPr>
        <w:t>до рішення сесії</w:t>
      </w:r>
      <w:r w:rsidR="00031AA6" w:rsidRPr="00031AA6">
        <w:rPr>
          <w:rFonts w:ascii="Times New Roman" w:hAnsi="Times New Roman" w:cs="Times New Roman"/>
          <w:color w:val="auto"/>
          <w:sz w:val="24"/>
          <w:szCs w:val="24"/>
        </w:rPr>
        <w:t xml:space="preserve"> Васильківської селищної</w:t>
      </w:r>
    </w:p>
    <w:p w:rsidR="0053436B" w:rsidRPr="00526F08" w:rsidRDefault="0053436B" w:rsidP="00031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AA6">
        <w:rPr>
          <w:rFonts w:ascii="Times New Roman" w:hAnsi="Times New Roman" w:cs="Times New Roman"/>
          <w:sz w:val="24"/>
          <w:szCs w:val="24"/>
        </w:rPr>
        <w:t xml:space="preserve">        </w:t>
      </w:r>
      <w:r w:rsidR="00031A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F72DE" w:rsidRPr="00526F08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E63D7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31AA6">
        <w:rPr>
          <w:rFonts w:ascii="Times New Roman" w:hAnsi="Times New Roman" w:cs="Times New Roman"/>
          <w:sz w:val="24"/>
          <w:szCs w:val="24"/>
        </w:rPr>
        <w:t xml:space="preserve"> </w:t>
      </w:r>
      <w:r w:rsidR="00526F08">
        <w:rPr>
          <w:rFonts w:ascii="Times New Roman" w:hAnsi="Times New Roman" w:cs="Times New Roman"/>
          <w:sz w:val="24"/>
          <w:szCs w:val="24"/>
        </w:rPr>
        <w:t xml:space="preserve"> </w:t>
      </w:r>
      <w:r w:rsidR="00995EF4">
        <w:rPr>
          <w:rFonts w:ascii="Times New Roman" w:hAnsi="Times New Roman" w:cs="Times New Roman"/>
          <w:sz w:val="24"/>
          <w:szCs w:val="24"/>
        </w:rPr>
        <w:t xml:space="preserve"> </w:t>
      </w:r>
      <w:r w:rsidR="00031AA6" w:rsidRPr="00031AA6">
        <w:rPr>
          <w:rFonts w:ascii="Times New Roman" w:hAnsi="Times New Roman" w:cs="Times New Roman"/>
          <w:sz w:val="24"/>
          <w:szCs w:val="24"/>
        </w:rPr>
        <w:t>ради</w:t>
      </w:r>
      <w:r w:rsidRPr="00031AA6">
        <w:rPr>
          <w:rFonts w:ascii="Times New Roman" w:hAnsi="Times New Roman" w:cs="Times New Roman"/>
          <w:sz w:val="24"/>
          <w:szCs w:val="24"/>
        </w:rPr>
        <w:t xml:space="preserve"> від  </w:t>
      </w:r>
      <w:r w:rsidR="00BD0D14">
        <w:rPr>
          <w:rFonts w:ascii="Times New Roman" w:hAnsi="Times New Roman" w:cs="Times New Roman"/>
          <w:sz w:val="24"/>
          <w:szCs w:val="24"/>
        </w:rPr>
        <w:t>18.12.2023</w:t>
      </w:r>
      <w:r w:rsidR="00031AA6">
        <w:rPr>
          <w:rFonts w:ascii="Times New Roman" w:hAnsi="Times New Roman" w:cs="Times New Roman"/>
          <w:sz w:val="24"/>
          <w:szCs w:val="24"/>
        </w:rPr>
        <w:t xml:space="preserve"> р.</w:t>
      </w:r>
      <w:r w:rsidRPr="00031AA6">
        <w:rPr>
          <w:rFonts w:ascii="Times New Roman" w:hAnsi="Times New Roman" w:cs="Times New Roman"/>
          <w:sz w:val="24"/>
          <w:szCs w:val="24"/>
        </w:rPr>
        <w:t xml:space="preserve"> №</w:t>
      </w:r>
      <w:r w:rsidR="002E21FD">
        <w:rPr>
          <w:rFonts w:ascii="Times New Roman" w:hAnsi="Times New Roman" w:cs="Times New Roman"/>
          <w:sz w:val="24"/>
          <w:szCs w:val="24"/>
          <w:lang w:val="ru-RU"/>
        </w:rPr>
        <w:t xml:space="preserve"> 1309</w:t>
      </w:r>
      <w:bookmarkStart w:id="0" w:name="_GoBack"/>
      <w:bookmarkEnd w:id="0"/>
      <w:r w:rsidR="00BD0D14">
        <w:rPr>
          <w:rFonts w:ascii="Times New Roman" w:hAnsi="Times New Roman" w:cs="Times New Roman"/>
          <w:sz w:val="24"/>
          <w:szCs w:val="24"/>
        </w:rPr>
        <w:t xml:space="preserve"> </w:t>
      </w:r>
      <w:r w:rsidR="00995EF4">
        <w:rPr>
          <w:rFonts w:ascii="Times New Roman" w:hAnsi="Times New Roman" w:cs="Times New Roman"/>
          <w:sz w:val="24"/>
          <w:szCs w:val="24"/>
        </w:rPr>
        <w:t>-</w:t>
      </w:r>
      <w:r w:rsidR="00BD0D14">
        <w:rPr>
          <w:rFonts w:ascii="Times New Roman" w:hAnsi="Times New Roman" w:cs="Times New Roman"/>
          <w:sz w:val="24"/>
          <w:szCs w:val="24"/>
        </w:rPr>
        <w:t>39</w:t>
      </w:r>
      <w:r w:rsidR="009F72DE">
        <w:rPr>
          <w:rFonts w:ascii="Times New Roman" w:hAnsi="Times New Roman" w:cs="Times New Roman"/>
          <w:sz w:val="24"/>
          <w:szCs w:val="24"/>
        </w:rPr>
        <w:t>/</w:t>
      </w:r>
      <w:r w:rsidR="009F72D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26F08">
        <w:rPr>
          <w:rFonts w:ascii="Times New Roman" w:hAnsi="Times New Roman" w:cs="Times New Roman"/>
          <w:sz w:val="24"/>
          <w:szCs w:val="24"/>
        </w:rPr>
        <w:t>І</w:t>
      </w:r>
    </w:p>
    <w:p w:rsidR="0053436B" w:rsidRDefault="0053436B" w:rsidP="0053436B">
      <w:pPr>
        <w:pStyle w:val="1"/>
        <w:ind w:left="227" w:firstLine="0"/>
        <w:jc w:val="right"/>
        <w:rPr>
          <w:b/>
          <w:color w:val="auto"/>
          <w:sz w:val="24"/>
          <w:szCs w:val="24"/>
        </w:rPr>
      </w:pPr>
    </w:p>
    <w:p w:rsidR="0053436B" w:rsidRDefault="0053436B" w:rsidP="0053436B">
      <w:pPr>
        <w:pStyle w:val="1"/>
        <w:ind w:left="227" w:firstLine="0"/>
        <w:rPr>
          <w:b/>
          <w:color w:val="auto"/>
          <w:sz w:val="24"/>
          <w:szCs w:val="24"/>
        </w:rPr>
      </w:pPr>
    </w:p>
    <w:p w:rsidR="0053436B" w:rsidRPr="005347CA" w:rsidRDefault="0053436B" w:rsidP="005347CA">
      <w:pPr>
        <w:pStyle w:val="1"/>
        <w:ind w:left="227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47CA">
        <w:rPr>
          <w:rFonts w:ascii="Times New Roman" w:hAnsi="Times New Roman" w:cs="Times New Roman"/>
          <w:b/>
          <w:color w:val="auto"/>
          <w:sz w:val="28"/>
          <w:szCs w:val="28"/>
        </w:rPr>
        <w:t>Аналіз SWOT – найважливіших проблем та можливостей розвитку громади</w:t>
      </w:r>
    </w:p>
    <w:p w:rsidR="0053436B" w:rsidRDefault="0053436B" w:rsidP="0053436B"/>
    <w:p w:rsidR="0053436B" w:rsidRPr="00031AA6" w:rsidRDefault="0053436B" w:rsidP="005343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AA6">
        <w:rPr>
          <w:rFonts w:ascii="Times New Roman" w:hAnsi="Times New Roman" w:cs="Times New Roman"/>
          <w:sz w:val="24"/>
          <w:szCs w:val="24"/>
        </w:rPr>
        <w:t>Аналіз SWOT є одним з найпопулярніших методів стратегічного діагнозу ситуації, в якій знаходиться спільнота самоврядування. Він служить для впорядкування та сортування інформації, завдяки чому є корисною допомогою при здійсненні оцінки ресурсів та оточення даної одиниці органів територіального самоврядування, полегшує ідентифікацію проблем та визначення пріоритетів розвитку. Його назва – це скорочення перших літер англійських слів, які одночасно є полями підпорядкування факторів, які можуть мати вплив на успіх стратегічного плану – сильні сторони (</w:t>
      </w:r>
      <w:proofErr w:type="spellStart"/>
      <w:r w:rsidRPr="00031AA6">
        <w:rPr>
          <w:rFonts w:ascii="Times New Roman" w:hAnsi="Times New Roman" w:cs="Times New Roman"/>
          <w:sz w:val="24"/>
          <w:szCs w:val="24"/>
        </w:rPr>
        <w:t>strenghts</w:t>
      </w:r>
      <w:proofErr w:type="spellEnd"/>
      <w:r w:rsidRPr="00031AA6">
        <w:rPr>
          <w:rFonts w:ascii="Times New Roman" w:hAnsi="Times New Roman" w:cs="Times New Roman"/>
          <w:sz w:val="24"/>
          <w:szCs w:val="24"/>
        </w:rPr>
        <w:t>), слабкі сторони (</w:t>
      </w:r>
      <w:proofErr w:type="spellStart"/>
      <w:r w:rsidRPr="00031AA6">
        <w:rPr>
          <w:rFonts w:ascii="Times New Roman" w:hAnsi="Times New Roman" w:cs="Times New Roman"/>
          <w:sz w:val="24"/>
          <w:szCs w:val="24"/>
        </w:rPr>
        <w:t>weaknesses</w:t>
      </w:r>
      <w:proofErr w:type="spellEnd"/>
      <w:r w:rsidRPr="00031AA6">
        <w:rPr>
          <w:rFonts w:ascii="Times New Roman" w:hAnsi="Times New Roman" w:cs="Times New Roman"/>
          <w:sz w:val="24"/>
          <w:szCs w:val="24"/>
        </w:rPr>
        <w:t>), шанси (</w:t>
      </w:r>
      <w:proofErr w:type="spellStart"/>
      <w:r w:rsidRPr="00031AA6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031AA6">
        <w:rPr>
          <w:rFonts w:ascii="Times New Roman" w:hAnsi="Times New Roman" w:cs="Times New Roman"/>
          <w:sz w:val="24"/>
          <w:szCs w:val="24"/>
        </w:rPr>
        <w:t>) та загрози (</w:t>
      </w:r>
      <w:proofErr w:type="spellStart"/>
      <w:r w:rsidRPr="00031AA6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031AA6">
        <w:rPr>
          <w:rFonts w:ascii="Times New Roman" w:hAnsi="Times New Roman" w:cs="Times New Roman"/>
          <w:sz w:val="24"/>
          <w:szCs w:val="24"/>
        </w:rPr>
        <w:t>).</w:t>
      </w:r>
    </w:p>
    <w:p w:rsidR="0053436B" w:rsidRPr="00031AA6" w:rsidRDefault="0053436B" w:rsidP="0053436B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1AA6">
        <w:rPr>
          <w:rFonts w:ascii="Times New Roman" w:hAnsi="Times New Roman" w:cs="Times New Roman"/>
          <w:b/>
          <w:sz w:val="24"/>
          <w:szCs w:val="24"/>
        </w:rPr>
        <w:t>S</w:t>
      </w:r>
      <w:r w:rsidRPr="00031AA6">
        <w:rPr>
          <w:rFonts w:ascii="Times New Roman" w:hAnsi="Times New Roman" w:cs="Times New Roman"/>
          <w:sz w:val="24"/>
          <w:szCs w:val="24"/>
        </w:rPr>
        <w:t xml:space="preserve"> -&gt; STRENGHTS, тобто сильні сторони</w:t>
      </w:r>
    </w:p>
    <w:p w:rsidR="0053436B" w:rsidRPr="00031AA6" w:rsidRDefault="0053436B" w:rsidP="0053436B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1AA6">
        <w:rPr>
          <w:rFonts w:ascii="Times New Roman" w:hAnsi="Times New Roman" w:cs="Times New Roman"/>
          <w:b/>
          <w:sz w:val="24"/>
          <w:szCs w:val="24"/>
        </w:rPr>
        <w:t>W</w:t>
      </w:r>
      <w:r w:rsidRPr="00031AA6">
        <w:rPr>
          <w:rFonts w:ascii="Times New Roman" w:hAnsi="Times New Roman" w:cs="Times New Roman"/>
          <w:sz w:val="24"/>
          <w:szCs w:val="24"/>
        </w:rPr>
        <w:t xml:space="preserve"> -&gt; WEAKNESSES, тобто слабкі сторони</w:t>
      </w:r>
    </w:p>
    <w:p w:rsidR="0053436B" w:rsidRPr="00031AA6" w:rsidRDefault="0053436B" w:rsidP="0053436B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1AA6">
        <w:rPr>
          <w:rFonts w:ascii="Times New Roman" w:hAnsi="Times New Roman" w:cs="Times New Roman"/>
          <w:b/>
          <w:sz w:val="24"/>
          <w:szCs w:val="24"/>
        </w:rPr>
        <w:t>O</w:t>
      </w:r>
      <w:r w:rsidRPr="00031AA6">
        <w:rPr>
          <w:rFonts w:ascii="Times New Roman" w:hAnsi="Times New Roman" w:cs="Times New Roman"/>
          <w:sz w:val="24"/>
          <w:szCs w:val="24"/>
        </w:rPr>
        <w:t xml:space="preserve"> -&gt; OPPORTUNITIES, тобто можливості</w:t>
      </w:r>
    </w:p>
    <w:p w:rsidR="0053436B" w:rsidRPr="00031AA6" w:rsidRDefault="0053436B" w:rsidP="0053436B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1AA6">
        <w:rPr>
          <w:rFonts w:ascii="Times New Roman" w:hAnsi="Times New Roman" w:cs="Times New Roman"/>
          <w:b/>
          <w:sz w:val="24"/>
          <w:szCs w:val="24"/>
        </w:rPr>
        <w:t>T</w:t>
      </w:r>
      <w:r w:rsidRPr="00031AA6">
        <w:rPr>
          <w:rFonts w:ascii="Times New Roman" w:hAnsi="Times New Roman" w:cs="Times New Roman"/>
          <w:sz w:val="24"/>
          <w:szCs w:val="24"/>
        </w:rPr>
        <w:t xml:space="preserve"> -&gt; THREATS, тобто загрози</w:t>
      </w:r>
    </w:p>
    <w:p w:rsidR="0053436B" w:rsidRPr="00031AA6" w:rsidRDefault="0053436B" w:rsidP="0053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AA6">
        <w:rPr>
          <w:rFonts w:ascii="Times New Roman" w:hAnsi="Times New Roman" w:cs="Times New Roman"/>
          <w:sz w:val="24"/>
          <w:szCs w:val="24"/>
        </w:rPr>
        <w:t xml:space="preserve">Відповідно до вищенаведеного, фактори розвитку можна поділити на внутрішні, на які місцева спільнота має вплив (сильні та слабкі сторони), та на зовнішні фактори – які знаходяться в ближньому та дальньому оточенні одиниці (шанси і загрози). Цей поділ можна зробити і по-іншому, а саме: позитивні фактори, тобто переваги та шанси, і негативні фактори, тобто недоліки і загрози. Аналіз SWOT був розроблений у двох етапах. На першому етапі – в межах розробки діагнозу соціально-економічної ситуації громади здійснено попереднє порівняння факторів у п’яти сферах: економіка, адміністрація самоврядування, інфраструктура та благоустрій територій, навколишнє середовище і туризм, суспільство та людський капітал. На другому етапі, на підставі попереднього порівняння та результатів соціальних досліджень проведено одне порівняння SWOT для усієї громади, здійснюючи </w:t>
      </w:r>
      <w:proofErr w:type="spellStart"/>
      <w:r w:rsidRPr="00031AA6">
        <w:rPr>
          <w:rFonts w:ascii="Times New Roman" w:hAnsi="Times New Roman" w:cs="Times New Roman"/>
          <w:sz w:val="24"/>
          <w:szCs w:val="24"/>
        </w:rPr>
        <w:t>ієрархізацію</w:t>
      </w:r>
      <w:proofErr w:type="spellEnd"/>
      <w:r w:rsidRPr="00031AA6">
        <w:rPr>
          <w:rFonts w:ascii="Times New Roman" w:hAnsi="Times New Roman" w:cs="Times New Roman"/>
          <w:sz w:val="24"/>
          <w:szCs w:val="24"/>
        </w:rPr>
        <w:t xml:space="preserve"> факторів, що впливають на розвиток громади. </w:t>
      </w:r>
    </w:p>
    <w:p w:rsidR="0053436B" w:rsidRPr="00031AA6" w:rsidRDefault="0053436B" w:rsidP="005343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tyle11"/>
        <w:tblW w:w="10020" w:type="dxa"/>
        <w:tblLayout w:type="fixed"/>
        <w:tblLook w:val="04A0" w:firstRow="1" w:lastRow="0" w:firstColumn="1" w:lastColumn="0" w:noHBand="0" w:noVBand="1"/>
      </w:tblPr>
      <w:tblGrid>
        <w:gridCol w:w="4820"/>
        <w:gridCol w:w="10"/>
        <w:gridCol w:w="5190"/>
      </w:tblGrid>
      <w:tr w:rsidR="0053436B" w:rsidRPr="00031AA6" w:rsidTr="007170AD">
        <w:trPr>
          <w:trHeight w:val="34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8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6B" w:rsidRPr="00031AA6" w:rsidRDefault="0053436B" w:rsidP="0071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b/>
                <w:sz w:val="24"/>
                <w:szCs w:val="24"/>
              </w:rPr>
              <w:t>Сильні сторони</w:t>
            </w: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6B" w:rsidRPr="00031AA6" w:rsidRDefault="0053436B" w:rsidP="0071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Слабкі </w:t>
            </w:r>
            <w:proofErr w:type="spellStart"/>
            <w:r w:rsidRPr="00031AA6">
              <w:rPr>
                <w:rFonts w:ascii="Times New Roman" w:hAnsi="Times New Roman" w:cs="Times New Roman"/>
                <w:b/>
                <w:sz w:val="24"/>
                <w:szCs w:val="24"/>
              </w:rPr>
              <w:t>сторон</w:t>
            </w:r>
            <w:proofErr w:type="spellEnd"/>
          </w:p>
        </w:tc>
      </w:tr>
      <w:tr w:rsidR="0053436B" w:rsidRPr="00031AA6" w:rsidTr="007170AD">
        <w:trPr>
          <w:trHeight w:val="22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1. Наявність вільних адміністративних та промислових приміщень, земельних ділянок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2. Земля сільськогосподарського призначення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3. Розвинуті аграрні господарства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4. Працелюбність мешканців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Якісні кадри та кадровий резерв, в тому числі в районній державній адміністрації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Географічне розташування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Наявність фінансових ресурсів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Наявність інфраструктури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Природні ресурси (пісок, гончарна глина, сланці)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Альтернативні джерела енергії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Пам’ятки культурної та історичної спадщини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Два міні-готелі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Цілодобове постачання води в адміністративному центрі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Залізнична станція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. Високий авторитет керівництва </w:t>
            </w:r>
            <w:r w:rsidR="009F72DE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 серед населення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Належний менеджмент в органі влади: цілеспрямованість, професійність та активність, досвідчений та активний селищний голова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Бренд «Васильківські сири» добре відомий у Дніпропетровській області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A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77A99" w:rsidRPr="00277A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277A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бування кварциту відкритим способом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Відсутність природних факторів, які забруднюють середовище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Розгалужена торгова мережа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Освіта, дошкільна освіта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Підйом громадської активності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Невпорядковані земельні відносини</w:t>
            </w:r>
          </w:p>
          <w:p w:rsidR="009D5039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 xml:space="preserve">Наближена відстань до зони проведення бойових дій внаслідок військової агресії </w:t>
            </w:r>
            <w:proofErr w:type="spellStart"/>
            <w:r w:rsidR="009D5039">
              <w:rPr>
                <w:rFonts w:ascii="Times New Roman" w:hAnsi="Times New Roman" w:cs="Times New Roman"/>
                <w:sz w:val="24"/>
                <w:szCs w:val="24"/>
              </w:rPr>
              <w:t>росії</w:t>
            </w:r>
            <w:proofErr w:type="spellEnd"/>
            <w:r w:rsidR="009D5039">
              <w:rPr>
                <w:rFonts w:ascii="Times New Roman" w:hAnsi="Times New Roman" w:cs="Times New Roman"/>
                <w:sz w:val="24"/>
                <w:szCs w:val="24"/>
              </w:rPr>
              <w:t xml:space="preserve"> проти України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Відсутність Генплану забудови </w:t>
            </w:r>
            <w:proofErr w:type="spellStart"/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Васильківка</w:t>
            </w:r>
            <w:proofErr w:type="spellEnd"/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Брак робочих місць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. Значний рівень злочинності (крадіжки, 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грабунки); незадоволення результатами роботи поліції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Відсутність житла для молоді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внутрішньо переміщених осіб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Брак кваліфікованих кадрів, відсутність фахівців вузького професійного профілю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Вирубка лісосмуг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Відсутнє сміттєзвалище, недосконала система збору побутових відходів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Майже повна відсутність водопроводів у селах громади, неналежна якість роботи системи водопостачання та водовідведення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Поганий стан доріг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Ментальність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Фізично і морально застаріла інфраструктура в адміністративному центрі громади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Недостатнє фінансування соціальної сфери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Географічне положення/Можливість відтоку населення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Недостатнє освітлення вулиць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Слабка привабливість території для інвесторів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 Існуючі туристичні об’єкти – практично незнані і невпорядковані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Майже повна відсутність підприємств з переробки продуктів сільського господарства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Домінуючі архаїчні способи ведення господарств дрібними фермерами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.Недостатній обсяг власних фінансових ресурсів громади для реалізації масштабних проектів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.Низький рівень комунікації органів місцевого самоврядування із населенням</w:t>
            </w:r>
          </w:p>
          <w:p w:rsidR="0053436B" w:rsidRPr="00031AA6" w:rsidRDefault="00277A9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Високі витрати енергоносіїв для опалення адміністративних будівель, закладів освіти, охорони здоров’я, соціальних об’єктів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.Значна відстань (понад 100 км) до обласних центрів Дніпра та Запоріжжя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Неналежний рівень медичного обслуговування</w:t>
            </w:r>
          </w:p>
          <w:p w:rsidR="0053436B" w:rsidRPr="00031AA6" w:rsidRDefault="0053436B" w:rsidP="009D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Великий відсоток людей літнього віку</w:t>
            </w:r>
          </w:p>
        </w:tc>
      </w:tr>
      <w:tr w:rsidR="0053436B" w:rsidRPr="00031AA6" w:rsidTr="007170AD">
        <w:trPr>
          <w:trHeight w:val="34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8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6B" w:rsidRPr="00031AA6" w:rsidRDefault="0053436B" w:rsidP="0071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Шанси</w:t>
            </w: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6B" w:rsidRPr="00031AA6" w:rsidRDefault="0053436B" w:rsidP="0071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b/>
                <w:sz w:val="24"/>
                <w:szCs w:val="24"/>
              </w:rPr>
              <w:t>Загрози</w:t>
            </w:r>
          </w:p>
        </w:tc>
      </w:tr>
      <w:tr w:rsidR="0053436B" w:rsidRPr="00031AA6" w:rsidTr="009D5039">
        <w:trPr>
          <w:trHeight w:val="120"/>
        </w:trPr>
        <w:tc>
          <w:tcPr>
            <w:tcW w:w="4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6B" w:rsidRPr="00031AA6" w:rsidRDefault="0053436B" w:rsidP="007170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1. Зміна законодавчої бази (розширення повноважень місцевого самоврядування) </w:t>
            </w:r>
          </w:p>
          <w:p w:rsidR="0053436B" w:rsidRPr="00031AA6" w:rsidRDefault="0053436B" w:rsidP="007170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2. Припинення бойових дій на сході України</w:t>
            </w:r>
          </w:p>
          <w:p w:rsidR="0053436B" w:rsidRPr="00031AA6" w:rsidRDefault="0053436B" w:rsidP="007170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3. Зацікавленість</w:t>
            </w:r>
            <w:r w:rsidR="009F72DE">
              <w:rPr>
                <w:rFonts w:ascii="Times New Roman" w:hAnsi="Times New Roman" w:cs="Times New Roman"/>
                <w:sz w:val="24"/>
                <w:szCs w:val="24"/>
              </w:rPr>
              <w:t xml:space="preserve"> закордонних партнерів першими 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ТГ, можливості навчання та практики – також і за кордоном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4. Залучення інвестицій</w:t>
            </w:r>
          </w:p>
          <w:p w:rsidR="0053436B" w:rsidRPr="00031AA6" w:rsidRDefault="0053436B" w:rsidP="007170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5. Можливості використання зовнішнього досвіду (експерти), велика кількість курсів удосконалення, які пропонують різні організації</w:t>
            </w:r>
          </w:p>
          <w:p w:rsidR="0053436B" w:rsidRPr="00031AA6" w:rsidRDefault="0053436B" w:rsidP="007170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 6. Можливість розширення території громади</w:t>
            </w:r>
          </w:p>
          <w:p w:rsidR="0053436B" w:rsidRPr="00031AA6" w:rsidRDefault="0053436B" w:rsidP="007170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7. Зростання свідомості та активності мешканців</w:t>
            </w:r>
          </w:p>
          <w:p w:rsidR="0053436B" w:rsidRPr="00031AA6" w:rsidRDefault="0053436B" w:rsidP="007170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8. Участь у проектах міжнародної технічної допомоги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9. Завершення реформи децентралізації влади</w:t>
            </w:r>
          </w:p>
          <w:p w:rsidR="0053436B" w:rsidRPr="00031AA6" w:rsidRDefault="0053436B" w:rsidP="007170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10. Зростання попиту на світових ринках на сільськогосподарську та тваринницьку продукцію</w:t>
            </w:r>
          </w:p>
          <w:p w:rsidR="0053436B" w:rsidRPr="00031AA6" w:rsidRDefault="0053436B" w:rsidP="007170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11. Зростання зацікавлення зеленим туризмом в Україні</w:t>
            </w:r>
          </w:p>
          <w:p w:rsidR="0053436B" w:rsidRPr="00031AA6" w:rsidRDefault="0053436B" w:rsidP="007170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12. Зростання державної підтримки енергозберігаючих альтернативних технологій</w:t>
            </w:r>
          </w:p>
          <w:p w:rsidR="0053436B" w:rsidRPr="00031AA6" w:rsidRDefault="0053436B" w:rsidP="007170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Можливість розвитку малої водної енергетики</w:t>
            </w:r>
          </w:p>
          <w:p w:rsidR="0053436B" w:rsidRPr="00031AA6" w:rsidRDefault="0053436B" w:rsidP="007170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.Державні реформи: освіти і медицини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Власна залізнична станція</w:t>
            </w:r>
          </w:p>
          <w:p w:rsidR="0053436B" w:rsidRPr="00031AA6" w:rsidRDefault="0053436B" w:rsidP="007170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6B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1. Нестабільність політичної та економічної ситуації в країні</w:t>
            </w:r>
          </w:p>
          <w:p w:rsidR="009D5039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2.Воєнні дії на території України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.Найнесподіваніші рішенн</w:t>
            </w:r>
            <w:r w:rsidR="009F72DE">
              <w:rPr>
                <w:rFonts w:ascii="Times New Roman" w:hAnsi="Times New Roman" w:cs="Times New Roman"/>
                <w:sz w:val="24"/>
                <w:szCs w:val="24"/>
              </w:rPr>
              <w:t xml:space="preserve">я держави у сфері бюджетування 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Відсутність стабілізованої нормативно-правово</w:t>
            </w:r>
            <w:r w:rsidR="009F72DE">
              <w:rPr>
                <w:rFonts w:ascii="Times New Roman" w:hAnsi="Times New Roman" w:cs="Times New Roman"/>
                <w:sz w:val="24"/>
                <w:szCs w:val="24"/>
              </w:rPr>
              <w:t xml:space="preserve">ї бази, які регулює діяльність 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.Скорочення державних програм та грантів соціального розвитку регіонів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. Близькість зони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бойових дій, ракетні та артилерійські обстріли, знищення критично важливої інфраструктури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Недостатня співпраця з районною владою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Збільшення імпорту продуктів харчування</w:t>
            </w:r>
          </w:p>
          <w:p w:rsidR="0053436B" w:rsidRPr="00031AA6" w:rsidRDefault="009D5039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>. Глобальні кліматичні зміни</w:t>
            </w:r>
            <w:r w:rsidR="0053436B" w:rsidRPr="00031A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ожливість продажу сільськогосподарської 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. Відтік кадрів через близькість міст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12. Технічний прогрес (машини замінюють людей)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13. Збільшення потоку вимушених переселенців 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>з областей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 w:rsidR="009D5039">
              <w:rPr>
                <w:rFonts w:ascii="Times New Roman" w:hAnsi="Times New Roman" w:cs="Times New Roman"/>
                <w:sz w:val="24"/>
                <w:szCs w:val="24"/>
              </w:rPr>
              <w:t xml:space="preserve">, що </w:t>
            </w:r>
            <w:proofErr w:type="spellStart"/>
            <w:r w:rsidR="009D5039">
              <w:rPr>
                <w:rFonts w:ascii="Times New Roman" w:hAnsi="Times New Roman" w:cs="Times New Roman"/>
                <w:sz w:val="24"/>
                <w:szCs w:val="24"/>
              </w:rPr>
              <w:t>обстрілюються</w:t>
            </w:r>
            <w:proofErr w:type="spellEnd"/>
            <w:r w:rsidR="009D5039">
              <w:rPr>
                <w:rFonts w:ascii="Times New Roman" w:hAnsi="Times New Roman" w:cs="Times New Roman"/>
                <w:sz w:val="24"/>
                <w:szCs w:val="24"/>
              </w:rPr>
              <w:t xml:space="preserve"> з боку </w:t>
            </w:r>
            <w:proofErr w:type="spellStart"/>
            <w:r w:rsidR="009D5039">
              <w:rPr>
                <w:rFonts w:ascii="Times New Roman" w:hAnsi="Times New Roman" w:cs="Times New Roman"/>
                <w:sz w:val="24"/>
                <w:szCs w:val="24"/>
              </w:rPr>
              <w:t>росії</w:t>
            </w:r>
            <w:proofErr w:type="spellEnd"/>
          </w:p>
          <w:p w:rsidR="00950FF3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14. Високі ціни на розробку генеральних планів населе</w:t>
            </w:r>
            <w:r w:rsidR="00950FF3">
              <w:rPr>
                <w:rFonts w:ascii="Times New Roman" w:hAnsi="Times New Roman" w:cs="Times New Roman"/>
                <w:sz w:val="24"/>
                <w:szCs w:val="24"/>
              </w:rPr>
              <w:t>них пунктів та</w:t>
            </w: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 xml:space="preserve"> зонування 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A6">
              <w:rPr>
                <w:rFonts w:ascii="Times New Roman" w:hAnsi="Times New Roman" w:cs="Times New Roman"/>
                <w:sz w:val="24"/>
                <w:szCs w:val="24"/>
              </w:rPr>
              <w:t>15. Загострення комунальних та екологічних проблем</w:t>
            </w:r>
          </w:p>
          <w:p w:rsidR="0053436B" w:rsidRPr="00031AA6" w:rsidRDefault="0053436B" w:rsidP="0071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FAA" w:rsidRPr="00031AA6" w:rsidRDefault="002E21FD">
      <w:pPr>
        <w:rPr>
          <w:rFonts w:ascii="Times New Roman" w:hAnsi="Times New Roman" w:cs="Times New Roman"/>
          <w:sz w:val="24"/>
          <w:szCs w:val="24"/>
        </w:rPr>
      </w:pPr>
    </w:p>
    <w:sectPr w:rsidR="00A17FAA" w:rsidRPr="00031AA6" w:rsidSect="0024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3436B"/>
    <w:rsid w:val="00031AA6"/>
    <w:rsid w:val="000D5819"/>
    <w:rsid w:val="001B35A4"/>
    <w:rsid w:val="0024017D"/>
    <w:rsid w:val="00277A99"/>
    <w:rsid w:val="002E21FD"/>
    <w:rsid w:val="00526F08"/>
    <w:rsid w:val="0053436B"/>
    <w:rsid w:val="005347CA"/>
    <w:rsid w:val="00950FF3"/>
    <w:rsid w:val="00995EF4"/>
    <w:rsid w:val="009D5039"/>
    <w:rsid w:val="009F72DE"/>
    <w:rsid w:val="00BD0D14"/>
    <w:rsid w:val="00C30FEF"/>
    <w:rsid w:val="00CE2B39"/>
    <w:rsid w:val="00D06B32"/>
    <w:rsid w:val="00E021C3"/>
    <w:rsid w:val="00E63D74"/>
    <w:rsid w:val="00F5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53436B"/>
    <w:pPr>
      <w:keepNext/>
      <w:keepLines/>
      <w:spacing w:before="240" w:after="120" w:line="276" w:lineRule="auto"/>
      <w:ind w:left="624" w:hanging="397"/>
      <w:contextualSpacing/>
      <w:jc w:val="both"/>
      <w:outlineLvl w:val="0"/>
    </w:pPr>
    <w:rPr>
      <w:color w:val="2E74B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6B"/>
    <w:rPr>
      <w:rFonts w:ascii="Calibri" w:eastAsia="Calibri" w:hAnsi="Calibri" w:cs="Calibri"/>
      <w:color w:val="2E74B5"/>
      <w:lang w:val="uk-UA" w:eastAsia="uk-UA"/>
    </w:rPr>
  </w:style>
  <w:style w:type="table" w:customStyle="1" w:styleId="Style11">
    <w:name w:val="_Style 11"/>
    <w:basedOn w:val="a1"/>
    <w:qFormat/>
    <w:rsid w:val="0053436B"/>
    <w:pPr>
      <w:spacing w:after="200" w:line="276" w:lineRule="auto"/>
      <w:jc w:val="both"/>
    </w:pPr>
    <w:rPr>
      <w:rFonts w:ascii="Calibri" w:eastAsia="Calibri" w:hAnsi="Calibri" w:cs="Calibri"/>
      <w:lang w:val="uk-UA" w:eastAsia="uk-UA"/>
    </w:rPr>
    <w:tblPr>
      <w:tblCellMar>
        <w:left w:w="0" w:type="dxa"/>
        <w:right w:w="0" w:type="dxa"/>
      </w:tblCellMar>
    </w:tblPr>
    <w:tcPr>
      <w:shd w:val="clear" w:color="auto" w:fill="DEEBF6"/>
    </w:tcPr>
  </w:style>
  <w:style w:type="paragraph" w:styleId="a3">
    <w:name w:val="List Paragraph"/>
    <w:basedOn w:val="a"/>
    <w:uiPriority w:val="34"/>
    <w:qFormat/>
    <w:rsid w:val="009D5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1FD"/>
    <w:rPr>
      <w:rFonts w:ascii="Tahoma" w:eastAsia="Calibri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DA07-5F6B-4A57-B382-18DD1421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alekseevna</cp:lastModifiedBy>
  <cp:revision>10</cp:revision>
  <cp:lastPrinted>2023-12-24T11:30:00Z</cp:lastPrinted>
  <dcterms:created xsi:type="dcterms:W3CDTF">2022-12-12T12:41:00Z</dcterms:created>
  <dcterms:modified xsi:type="dcterms:W3CDTF">2023-12-24T11:30:00Z</dcterms:modified>
</cp:coreProperties>
</file>